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715" w:rsidRPr="00D671BA" w:rsidRDefault="00E84715" w:rsidP="00E84715">
      <w:pPr>
        <w:spacing w:after="120" w:line="266" w:lineRule="auto"/>
        <w:ind w:right="0"/>
        <w:jc w:val="right"/>
        <w:rPr>
          <w:b/>
          <w:color w:val="000000" w:themeColor="text1"/>
        </w:rPr>
      </w:pPr>
      <w:r w:rsidRPr="00D671BA">
        <w:rPr>
          <w:b/>
          <w:color w:val="000000" w:themeColor="text1"/>
        </w:rPr>
        <w:t xml:space="preserve">Annexure VIII </w:t>
      </w:r>
    </w:p>
    <w:p w:rsidR="00E84715" w:rsidRPr="00D671BA" w:rsidRDefault="00E84715" w:rsidP="00E84715">
      <w:pPr>
        <w:spacing w:after="120" w:line="266" w:lineRule="auto"/>
        <w:ind w:right="0"/>
        <w:jc w:val="center"/>
        <w:rPr>
          <w:b/>
          <w:color w:val="000000" w:themeColor="text1"/>
        </w:rPr>
      </w:pPr>
      <w:r w:rsidRPr="00D671BA">
        <w:rPr>
          <w:b/>
          <w:color w:val="000000" w:themeColor="text1"/>
        </w:rPr>
        <w:t>Details of Technical Bid</w:t>
      </w:r>
    </w:p>
    <w:tbl>
      <w:tblPr>
        <w:tblpPr w:leftFromText="180" w:rightFromText="180" w:vertAnchor="text" w:horzAnchor="margin" w:tblpY="1143"/>
        <w:tblW w:w="8208" w:type="dxa"/>
        <w:tblLayout w:type="fixed"/>
        <w:tblLook w:val="04A0"/>
      </w:tblPr>
      <w:tblGrid>
        <w:gridCol w:w="8208"/>
      </w:tblGrid>
      <w:tr w:rsidR="00E84715" w:rsidRPr="00D671BA" w:rsidTr="001E1BB6">
        <w:trPr>
          <w:trHeight w:val="798"/>
        </w:trPr>
        <w:tc>
          <w:tcPr>
            <w:tcW w:w="8208" w:type="dxa"/>
            <w:tcBorders>
              <w:top w:val="single" w:sz="12" w:space="0" w:color="auto"/>
              <w:left w:val="single" w:sz="12" w:space="0" w:color="auto"/>
              <w:bottom w:val="single" w:sz="6" w:space="0" w:color="auto"/>
              <w:right w:val="single" w:sz="6" w:space="0" w:color="auto"/>
            </w:tcBorders>
            <w:shd w:val="clear" w:color="auto" w:fill="auto"/>
          </w:tcPr>
          <w:p w:rsidR="00E84715" w:rsidRPr="00D671BA" w:rsidRDefault="00E84715" w:rsidP="001E1BB6">
            <w:pPr>
              <w:autoSpaceDE w:val="0"/>
              <w:autoSpaceDN w:val="0"/>
              <w:adjustRightInd w:val="0"/>
              <w:spacing w:after="0" w:line="240" w:lineRule="auto"/>
              <w:ind w:right="0"/>
              <w:rPr>
                <w:b/>
                <w:color w:val="000000" w:themeColor="text1"/>
              </w:rPr>
            </w:pPr>
            <w:r w:rsidRPr="00D671BA">
              <w:rPr>
                <w:b/>
                <w:color w:val="000000" w:themeColor="text1"/>
              </w:rPr>
              <w:t>Section (A) : Experience in implementation of the Actuarial software system                                                                             (20/100)</w:t>
            </w:r>
          </w:p>
        </w:tc>
      </w:tr>
      <w:tr w:rsidR="00E84715" w:rsidRPr="00D671BA" w:rsidTr="001E1BB6">
        <w:trPr>
          <w:trHeight w:val="271"/>
        </w:trPr>
        <w:tc>
          <w:tcPr>
            <w:tcW w:w="8208" w:type="dxa"/>
            <w:tcBorders>
              <w:top w:val="single" w:sz="6" w:space="0" w:color="auto"/>
              <w:left w:val="single" w:sz="12" w:space="0" w:color="auto"/>
              <w:bottom w:val="single" w:sz="6" w:space="0" w:color="auto"/>
              <w:right w:val="single" w:sz="6" w:space="0" w:color="auto"/>
            </w:tcBorders>
          </w:tcPr>
          <w:p w:rsidR="00E84715" w:rsidRPr="00D671BA" w:rsidRDefault="00E84715" w:rsidP="001E1BB6">
            <w:pPr>
              <w:autoSpaceDE w:val="0"/>
              <w:autoSpaceDN w:val="0"/>
              <w:adjustRightInd w:val="0"/>
              <w:spacing w:after="0" w:line="240" w:lineRule="auto"/>
              <w:ind w:right="0"/>
              <w:jc w:val="both"/>
              <w:rPr>
                <w:bCs/>
                <w:color w:val="000000" w:themeColor="text1"/>
              </w:rPr>
            </w:pPr>
          </w:p>
        </w:tc>
      </w:tr>
      <w:tr w:rsidR="00E84715" w:rsidRPr="00D671BA" w:rsidTr="001E1BB6">
        <w:trPr>
          <w:trHeight w:val="1035"/>
        </w:trPr>
        <w:tc>
          <w:tcPr>
            <w:tcW w:w="8208" w:type="dxa"/>
            <w:tcBorders>
              <w:top w:val="single" w:sz="6" w:space="0" w:color="auto"/>
              <w:left w:val="single" w:sz="12" w:space="0" w:color="auto"/>
              <w:bottom w:val="single" w:sz="6" w:space="0" w:color="auto"/>
              <w:right w:val="single" w:sz="6" w:space="0" w:color="auto"/>
            </w:tcBorders>
          </w:tcPr>
          <w:p w:rsidR="00E84715" w:rsidRPr="00D671BA" w:rsidRDefault="00E84715" w:rsidP="001E1BB6">
            <w:pPr>
              <w:autoSpaceDE w:val="0"/>
              <w:autoSpaceDN w:val="0"/>
              <w:adjustRightInd w:val="0"/>
              <w:spacing w:after="0" w:line="240" w:lineRule="auto"/>
              <w:ind w:right="0"/>
              <w:jc w:val="both"/>
              <w:rPr>
                <w:color w:val="000000" w:themeColor="text1"/>
              </w:rPr>
            </w:pPr>
            <w:r w:rsidRPr="00D671BA">
              <w:rPr>
                <w:bCs/>
                <w:color w:val="000000" w:themeColor="text1"/>
              </w:rPr>
              <w:t xml:space="preserve">Experience in Implementation of </w:t>
            </w:r>
            <w:r w:rsidRPr="00D671BA">
              <w:rPr>
                <w:color w:val="000000" w:themeColor="text1"/>
              </w:rPr>
              <w:t xml:space="preserve"> actuarial software system : Experience and credentials of the Bidder in  actuarial software system implementation for Life Insurance companies in India and abroad </w:t>
            </w:r>
          </w:p>
        </w:tc>
      </w:tr>
      <w:tr w:rsidR="00E84715" w:rsidRPr="00D671BA" w:rsidTr="001E1BB6">
        <w:trPr>
          <w:trHeight w:val="1065"/>
        </w:trPr>
        <w:tc>
          <w:tcPr>
            <w:tcW w:w="8208" w:type="dxa"/>
            <w:tcBorders>
              <w:top w:val="single" w:sz="6" w:space="0" w:color="auto"/>
              <w:left w:val="single" w:sz="12" w:space="0" w:color="auto"/>
              <w:bottom w:val="single" w:sz="6" w:space="0" w:color="auto"/>
              <w:right w:val="single" w:sz="6" w:space="0" w:color="auto"/>
            </w:tcBorders>
          </w:tcPr>
          <w:p w:rsidR="00E84715" w:rsidRPr="00D671BA" w:rsidRDefault="00E84715" w:rsidP="001E1BB6">
            <w:pPr>
              <w:autoSpaceDE w:val="0"/>
              <w:autoSpaceDN w:val="0"/>
              <w:adjustRightInd w:val="0"/>
              <w:spacing w:after="0" w:line="240" w:lineRule="auto"/>
              <w:ind w:right="0"/>
              <w:jc w:val="both"/>
              <w:rPr>
                <w:color w:val="000000" w:themeColor="text1"/>
              </w:rPr>
            </w:pPr>
            <w:r w:rsidRPr="00D671BA">
              <w:rPr>
                <w:bCs/>
                <w:color w:val="000000" w:themeColor="text1"/>
              </w:rPr>
              <w:t xml:space="preserve">Implementation of </w:t>
            </w:r>
            <w:r w:rsidRPr="00D671BA">
              <w:rPr>
                <w:color w:val="000000" w:themeColor="text1"/>
              </w:rPr>
              <w:t xml:space="preserve"> actuarial software system </w:t>
            </w:r>
            <w:r w:rsidRPr="00D671BA">
              <w:rPr>
                <w:bCs/>
                <w:color w:val="000000" w:themeColor="text1"/>
              </w:rPr>
              <w:t>:</w:t>
            </w:r>
          </w:p>
          <w:p w:rsidR="00E84715" w:rsidRPr="00D671BA" w:rsidRDefault="00E84715" w:rsidP="001E1BB6">
            <w:pPr>
              <w:autoSpaceDE w:val="0"/>
              <w:autoSpaceDN w:val="0"/>
              <w:adjustRightInd w:val="0"/>
              <w:spacing w:after="0" w:line="240" w:lineRule="auto"/>
              <w:ind w:right="0"/>
              <w:jc w:val="both"/>
              <w:rPr>
                <w:color w:val="000000" w:themeColor="text1"/>
              </w:rPr>
            </w:pPr>
          </w:p>
          <w:p w:rsidR="00E84715" w:rsidRPr="00D671BA" w:rsidRDefault="00E84715" w:rsidP="001E1BB6">
            <w:pPr>
              <w:autoSpaceDE w:val="0"/>
              <w:autoSpaceDN w:val="0"/>
              <w:adjustRightInd w:val="0"/>
              <w:spacing w:after="0" w:line="240" w:lineRule="auto"/>
              <w:ind w:right="0"/>
              <w:jc w:val="both"/>
              <w:rPr>
                <w:color w:val="000000" w:themeColor="text1"/>
              </w:rPr>
            </w:pPr>
            <w:r w:rsidRPr="00D671BA">
              <w:rPr>
                <w:color w:val="000000" w:themeColor="text1"/>
              </w:rPr>
              <w:t xml:space="preserve">Experience in integration of life insurance products into the actuarial software system </w:t>
            </w:r>
          </w:p>
        </w:tc>
      </w:tr>
      <w:tr w:rsidR="00E84715" w:rsidRPr="00D671BA" w:rsidTr="001E1BB6">
        <w:trPr>
          <w:trHeight w:val="1422"/>
        </w:trPr>
        <w:tc>
          <w:tcPr>
            <w:tcW w:w="8208" w:type="dxa"/>
            <w:tcBorders>
              <w:top w:val="single" w:sz="6" w:space="0" w:color="auto"/>
              <w:left w:val="single" w:sz="12" w:space="0" w:color="auto"/>
              <w:bottom w:val="single" w:sz="6" w:space="0" w:color="auto"/>
              <w:right w:val="single" w:sz="6" w:space="0" w:color="auto"/>
            </w:tcBorders>
          </w:tcPr>
          <w:p w:rsidR="00E84715" w:rsidRPr="00D671BA" w:rsidRDefault="00E84715" w:rsidP="001E1BB6">
            <w:pPr>
              <w:autoSpaceDE w:val="0"/>
              <w:autoSpaceDN w:val="0"/>
              <w:adjustRightInd w:val="0"/>
              <w:spacing w:after="0" w:line="240" w:lineRule="auto"/>
              <w:ind w:right="0"/>
              <w:jc w:val="both"/>
              <w:rPr>
                <w:color w:val="000000" w:themeColor="text1"/>
              </w:rPr>
            </w:pPr>
            <w:r w:rsidRPr="00D671BA">
              <w:rPr>
                <w:bCs/>
                <w:color w:val="000000" w:themeColor="text1"/>
              </w:rPr>
              <w:t>Training and Handholding</w:t>
            </w:r>
            <w:r w:rsidRPr="00D671BA">
              <w:rPr>
                <w:color w:val="000000" w:themeColor="text1"/>
              </w:rPr>
              <w:t xml:space="preserve"> : Experience in providing training and handholding life insurance companies in implementation of  actuarial software system appropriate for the Indian/EV determination and other jobs as specified in Scope of work and commitment to train and handhold </w:t>
            </w:r>
            <w:r>
              <w:rPr>
                <w:color w:val="000000" w:themeColor="text1"/>
              </w:rPr>
              <w:t xml:space="preserve">LICI </w:t>
            </w:r>
            <w:r w:rsidRPr="00D671BA">
              <w:rPr>
                <w:color w:val="000000" w:themeColor="text1"/>
              </w:rPr>
              <w:t>team in integration of products to the  actuarial software system</w:t>
            </w:r>
          </w:p>
        </w:tc>
      </w:tr>
      <w:tr w:rsidR="00E84715" w:rsidRPr="00D671BA" w:rsidTr="001E1BB6">
        <w:trPr>
          <w:trHeight w:val="702"/>
        </w:trPr>
        <w:tc>
          <w:tcPr>
            <w:tcW w:w="8208" w:type="dxa"/>
            <w:tcBorders>
              <w:top w:val="single" w:sz="6" w:space="0" w:color="auto"/>
              <w:left w:val="single" w:sz="12" w:space="0" w:color="auto"/>
              <w:bottom w:val="single" w:sz="6" w:space="0" w:color="auto"/>
              <w:right w:val="single" w:sz="6" w:space="0" w:color="auto"/>
            </w:tcBorders>
          </w:tcPr>
          <w:p w:rsidR="00E84715" w:rsidRPr="00D671BA" w:rsidRDefault="00E84715" w:rsidP="001E1BB6">
            <w:pPr>
              <w:ind w:right="0"/>
              <w:jc w:val="both"/>
              <w:rPr>
                <w:color w:val="000000" w:themeColor="text1"/>
              </w:rPr>
            </w:pPr>
            <w:r w:rsidRPr="00D671BA">
              <w:rPr>
                <w:bCs/>
                <w:color w:val="000000" w:themeColor="text1"/>
              </w:rPr>
              <w:t>Experience of the Bidder in implementation of EV/IEV framework in India and/or outside India.</w:t>
            </w:r>
          </w:p>
        </w:tc>
      </w:tr>
      <w:tr w:rsidR="00E84715" w:rsidRPr="00D671BA" w:rsidTr="001E1BB6">
        <w:trPr>
          <w:trHeight w:val="527"/>
        </w:trPr>
        <w:tc>
          <w:tcPr>
            <w:tcW w:w="8208" w:type="dxa"/>
            <w:tcBorders>
              <w:top w:val="single" w:sz="6" w:space="0" w:color="auto"/>
              <w:left w:val="single" w:sz="12" w:space="0" w:color="auto"/>
              <w:bottom w:val="single" w:sz="6" w:space="0" w:color="auto"/>
              <w:right w:val="single" w:sz="6" w:space="0" w:color="auto"/>
            </w:tcBorders>
          </w:tcPr>
          <w:p w:rsidR="00E84715" w:rsidRPr="00D671BA" w:rsidRDefault="00E84715" w:rsidP="001E1BB6">
            <w:pPr>
              <w:ind w:right="0"/>
              <w:jc w:val="both"/>
              <w:rPr>
                <w:color w:val="000000" w:themeColor="text1"/>
              </w:rPr>
            </w:pPr>
            <w:r w:rsidRPr="00D671BA">
              <w:rPr>
                <w:color w:val="000000" w:themeColor="text1"/>
              </w:rPr>
              <w:t xml:space="preserve">Experience of the Bidder in implementation of the Indian Statutory Regulatory framework in the actuarial software system for life insurers. </w:t>
            </w:r>
          </w:p>
        </w:tc>
      </w:tr>
      <w:tr w:rsidR="00E84715" w:rsidRPr="00D671BA" w:rsidTr="001E1BB6">
        <w:trPr>
          <w:trHeight w:val="558"/>
        </w:trPr>
        <w:tc>
          <w:tcPr>
            <w:tcW w:w="8208" w:type="dxa"/>
            <w:tcBorders>
              <w:top w:val="single" w:sz="6" w:space="0" w:color="auto"/>
              <w:left w:val="single" w:sz="12" w:space="0" w:color="auto"/>
              <w:bottom w:val="single" w:sz="6" w:space="0" w:color="auto"/>
              <w:right w:val="single" w:sz="6" w:space="0" w:color="auto"/>
            </w:tcBorders>
          </w:tcPr>
          <w:p w:rsidR="00E84715" w:rsidRPr="00D671BA" w:rsidRDefault="00E84715" w:rsidP="001E1BB6">
            <w:pPr>
              <w:ind w:right="0"/>
              <w:jc w:val="both"/>
              <w:rPr>
                <w:color w:val="000000" w:themeColor="text1"/>
              </w:rPr>
            </w:pPr>
            <w:r w:rsidRPr="00D671BA">
              <w:rPr>
                <w:color w:val="000000" w:themeColor="text1"/>
              </w:rPr>
              <w:t>Experience of the Bidder in implementation of other jobs mentioned in scope of work</w:t>
            </w:r>
          </w:p>
        </w:tc>
      </w:tr>
      <w:tr w:rsidR="00E84715" w:rsidRPr="00D671BA" w:rsidTr="001E1BB6">
        <w:trPr>
          <w:trHeight w:val="811"/>
        </w:trPr>
        <w:tc>
          <w:tcPr>
            <w:tcW w:w="8208" w:type="dxa"/>
            <w:tcBorders>
              <w:top w:val="single" w:sz="6" w:space="0" w:color="auto"/>
              <w:left w:val="single" w:sz="12" w:space="0" w:color="auto"/>
              <w:bottom w:val="single" w:sz="6" w:space="0" w:color="auto"/>
              <w:right w:val="single" w:sz="6" w:space="0" w:color="auto"/>
            </w:tcBorders>
            <w:shd w:val="clear" w:color="auto" w:fill="auto"/>
          </w:tcPr>
          <w:p w:rsidR="00E84715" w:rsidRPr="00D671BA" w:rsidRDefault="00E84715" w:rsidP="001E1BB6">
            <w:pPr>
              <w:ind w:right="0"/>
              <w:jc w:val="both"/>
              <w:rPr>
                <w:b/>
                <w:bCs/>
                <w:color w:val="000000" w:themeColor="text1"/>
              </w:rPr>
            </w:pPr>
            <w:r w:rsidRPr="00D671BA">
              <w:rPr>
                <w:b/>
                <w:bCs/>
                <w:color w:val="000000" w:themeColor="text1"/>
              </w:rPr>
              <w:t>Section (B) : Approach of Bidder towards implementation of the Actuarial Software system  by submitting a detailed roadmap including intermediate milestones and timelines for each of the jobs mentioned in Scope of work                                                   (65/100)</w:t>
            </w:r>
          </w:p>
        </w:tc>
      </w:tr>
      <w:tr w:rsidR="00E84715" w:rsidRPr="00D671BA" w:rsidTr="001E1BB6">
        <w:trPr>
          <w:trHeight w:val="1538"/>
        </w:trPr>
        <w:tc>
          <w:tcPr>
            <w:tcW w:w="8208" w:type="dxa"/>
            <w:tcBorders>
              <w:top w:val="single" w:sz="6" w:space="0" w:color="auto"/>
              <w:left w:val="single" w:sz="12" w:space="0" w:color="auto"/>
              <w:bottom w:val="single" w:sz="6" w:space="0" w:color="auto"/>
              <w:right w:val="single" w:sz="6" w:space="0" w:color="auto"/>
            </w:tcBorders>
          </w:tcPr>
          <w:p w:rsidR="00E84715" w:rsidRPr="00D671BA" w:rsidRDefault="00E84715" w:rsidP="001E1BB6">
            <w:pPr>
              <w:autoSpaceDE w:val="0"/>
              <w:autoSpaceDN w:val="0"/>
              <w:adjustRightInd w:val="0"/>
              <w:spacing w:after="0" w:line="240" w:lineRule="auto"/>
              <w:ind w:right="0"/>
              <w:jc w:val="both"/>
              <w:rPr>
                <w:color w:val="000000" w:themeColor="text1"/>
              </w:rPr>
            </w:pPr>
            <w:r w:rsidRPr="00D671BA">
              <w:rPr>
                <w:color w:val="000000" w:themeColor="text1"/>
              </w:rPr>
              <w:t>Detailed roadmap including intermediate milestones and timelines clearly specifying the methodology the Bidder would adopt for developing models, validation and testing of outputs while integrating LIC’s 80 products of both Individual and Group business into the actuarial software system.</w:t>
            </w:r>
          </w:p>
        </w:tc>
      </w:tr>
      <w:tr w:rsidR="00E84715" w:rsidRPr="00D671BA" w:rsidTr="001E1BB6">
        <w:trPr>
          <w:trHeight w:val="1038"/>
        </w:trPr>
        <w:tc>
          <w:tcPr>
            <w:tcW w:w="8208" w:type="dxa"/>
            <w:tcBorders>
              <w:top w:val="single" w:sz="6" w:space="0" w:color="auto"/>
              <w:left w:val="single" w:sz="12" w:space="0" w:color="auto"/>
              <w:bottom w:val="single" w:sz="6" w:space="0" w:color="auto"/>
              <w:right w:val="single" w:sz="6" w:space="0" w:color="auto"/>
            </w:tcBorders>
          </w:tcPr>
          <w:p w:rsidR="00E84715" w:rsidRPr="00D671BA" w:rsidRDefault="00E84715" w:rsidP="001E1BB6">
            <w:pPr>
              <w:autoSpaceDE w:val="0"/>
              <w:autoSpaceDN w:val="0"/>
              <w:adjustRightInd w:val="0"/>
              <w:spacing w:after="0" w:line="240" w:lineRule="auto"/>
              <w:ind w:right="0"/>
              <w:jc w:val="both"/>
              <w:rPr>
                <w:bCs/>
                <w:color w:val="000000" w:themeColor="text1"/>
              </w:rPr>
            </w:pPr>
            <w:r w:rsidRPr="00D671BA">
              <w:rPr>
                <w:color w:val="000000" w:themeColor="text1"/>
              </w:rPr>
              <w:lastRenderedPageBreak/>
              <w:t xml:space="preserve">Detailed roadmap including intermediate milestones and timelines clearly specifying the methodology the Bidder would </w:t>
            </w:r>
            <w:proofErr w:type="gramStart"/>
            <w:r w:rsidRPr="00D671BA">
              <w:rPr>
                <w:color w:val="000000" w:themeColor="text1"/>
              </w:rPr>
              <w:t xml:space="preserve">adopt </w:t>
            </w:r>
            <w:r w:rsidRPr="00D671BA">
              <w:rPr>
                <w:bCs/>
                <w:color w:val="000000" w:themeColor="text1"/>
              </w:rPr>
              <w:t xml:space="preserve"> towards</w:t>
            </w:r>
            <w:proofErr w:type="gramEnd"/>
            <w:r w:rsidRPr="00D671BA">
              <w:rPr>
                <w:bCs/>
                <w:color w:val="000000" w:themeColor="text1"/>
              </w:rPr>
              <w:t xml:space="preserve"> implementation of IEV framework and other related jobs as per APS-10.This must include the </w:t>
            </w:r>
            <w:r w:rsidRPr="00D671BA">
              <w:rPr>
                <w:color w:val="000000" w:themeColor="text1"/>
              </w:rPr>
              <w:t xml:space="preserve"> actuarial software system </w:t>
            </w:r>
            <w:r w:rsidRPr="00D671BA">
              <w:rPr>
                <w:bCs/>
                <w:color w:val="000000" w:themeColor="text1"/>
              </w:rPr>
              <w:t>readiness for generation of IEV numbers for IPO purpose and automated report generation by the software.</w:t>
            </w:r>
          </w:p>
        </w:tc>
      </w:tr>
      <w:tr w:rsidR="00E84715" w:rsidRPr="00D671BA" w:rsidTr="001E1BB6">
        <w:trPr>
          <w:trHeight w:val="975"/>
        </w:trPr>
        <w:tc>
          <w:tcPr>
            <w:tcW w:w="8208" w:type="dxa"/>
            <w:tcBorders>
              <w:top w:val="single" w:sz="6" w:space="0" w:color="auto"/>
              <w:left w:val="single" w:sz="12" w:space="0" w:color="auto"/>
              <w:bottom w:val="single" w:sz="6" w:space="0" w:color="auto"/>
              <w:right w:val="single" w:sz="6" w:space="0" w:color="auto"/>
            </w:tcBorders>
          </w:tcPr>
          <w:p w:rsidR="00E84715" w:rsidRPr="00D671BA" w:rsidRDefault="00E84715" w:rsidP="001E1BB6">
            <w:pPr>
              <w:autoSpaceDE w:val="0"/>
              <w:autoSpaceDN w:val="0"/>
              <w:adjustRightInd w:val="0"/>
              <w:spacing w:after="0" w:line="240" w:lineRule="auto"/>
              <w:ind w:right="0"/>
              <w:jc w:val="both"/>
              <w:rPr>
                <w:color w:val="000000" w:themeColor="text1"/>
              </w:rPr>
            </w:pPr>
            <w:r w:rsidRPr="00D671BA">
              <w:rPr>
                <w:color w:val="000000" w:themeColor="text1"/>
              </w:rPr>
              <w:t xml:space="preserve">Detailed roadmap including intermediate milestones and timelines clearly specifying the methodology the Bidder would adopt </w:t>
            </w:r>
            <w:r w:rsidRPr="00D671BA">
              <w:rPr>
                <w:bCs/>
                <w:color w:val="000000" w:themeColor="text1"/>
              </w:rPr>
              <w:t>towards implementation of</w:t>
            </w:r>
            <w:r>
              <w:rPr>
                <w:bCs/>
                <w:color w:val="000000" w:themeColor="text1"/>
              </w:rPr>
              <w:t xml:space="preserve"> </w:t>
            </w:r>
            <w:r w:rsidRPr="00D671BA">
              <w:rPr>
                <w:color w:val="000000" w:themeColor="text1"/>
              </w:rPr>
              <w:t>statutory valuation framework and other reporting requirements</w:t>
            </w:r>
          </w:p>
        </w:tc>
      </w:tr>
      <w:tr w:rsidR="00E84715" w:rsidRPr="00D671BA" w:rsidTr="001E1BB6">
        <w:trPr>
          <w:trHeight w:val="1065"/>
        </w:trPr>
        <w:tc>
          <w:tcPr>
            <w:tcW w:w="8208" w:type="dxa"/>
            <w:tcBorders>
              <w:top w:val="single" w:sz="6" w:space="0" w:color="auto"/>
              <w:left w:val="single" w:sz="12" w:space="0" w:color="auto"/>
              <w:bottom w:val="single" w:sz="6" w:space="0" w:color="auto"/>
              <w:right w:val="single" w:sz="6" w:space="0" w:color="auto"/>
            </w:tcBorders>
          </w:tcPr>
          <w:p w:rsidR="00E84715" w:rsidRPr="00D671BA" w:rsidRDefault="00E84715" w:rsidP="001E1BB6">
            <w:pPr>
              <w:autoSpaceDE w:val="0"/>
              <w:autoSpaceDN w:val="0"/>
              <w:adjustRightInd w:val="0"/>
              <w:spacing w:after="0" w:line="240" w:lineRule="auto"/>
              <w:ind w:right="0"/>
              <w:jc w:val="both"/>
              <w:rPr>
                <w:bCs/>
                <w:color w:val="000000" w:themeColor="text1"/>
              </w:rPr>
            </w:pPr>
            <w:r w:rsidRPr="00D671BA">
              <w:rPr>
                <w:color w:val="000000" w:themeColor="text1"/>
              </w:rPr>
              <w:t xml:space="preserve">Detailed roadmap including intermediate milestones and timelines clearly specifying the methodology the Bidder would adopt </w:t>
            </w:r>
            <w:r w:rsidRPr="00D671BA">
              <w:rPr>
                <w:bCs/>
                <w:color w:val="000000" w:themeColor="text1"/>
              </w:rPr>
              <w:t xml:space="preserve"> towards implementation of other jobs as per the Scope of Work</w:t>
            </w:r>
          </w:p>
        </w:tc>
      </w:tr>
      <w:tr w:rsidR="00E84715" w:rsidRPr="00D671BA" w:rsidTr="001E1BB6">
        <w:trPr>
          <w:trHeight w:val="789"/>
        </w:trPr>
        <w:tc>
          <w:tcPr>
            <w:tcW w:w="8208" w:type="dxa"/>
            <w:tcBorders>
              <w:top w:val="single" w:sz="6" w:space="0" w:color="auto"/>
              <w:left w:val="single" w:sz="12" w:space="0" w:color="auto"/>
              <w:bottom w:val="single" w:sz="6" w:space="0" w:color="auto"/>
              <w:right w:val="single" w:sz="6" w:space="0" w:color="auto"/>
            </w:tcBorders>
          </w:tcPr>
          <w:p w:rsidR="00E84715" w:rsidRPr="00D671BA" w:rsidRDefault="00E84715" w:rsidP="001E1BB6">
            <w:pPr>
              <w:autoSpaceDE w:val="0"/>
              <w:autoSpaceDN w:val="0"/>
              <w:adjustRightInd w:val="0"/>
              <w:spacing w:after="0" w:line="240" w:lineRule="auto"/>
              <w:ind w:right="0"/>
              <w:jc w:val="both"/>
              <w:rPr>
                <w:color w:val="000000" w:themeColor="text1"/>
              </w:rPr>
            </w:pPr>
            <w:r w:rsidRPr="00D671BA">
              <w:rPr>
                <w:color w:val="000000" w:themeColor="text1"/>
              </w:rPr>
              <w:t xml:space="preserve">Estimated timelines specifying intermediate milestones for all works </w:t>
            </w:r>
          </w:p>
        </w:tc>
      </w:tr>
      <w:tr w:rsidR="00E84715" w:rsidRPr="00D671BA" w:rsidTr="001E1BB6">
        <w:trPr>
          <w:trHeight w:val="509"/>
        </w:trPr>
        <w:tc>
          <w:tcPr>
            <w:tcW w:w="8208" w:type="dxa"/>
            <w:tcBorders>
              <w:top w:val="single" w:sz="6" w:space="0" w:color="auto"/>
              <w:left w:val="single" w:sz="12" w:space="0" w:color="auto"/>
              <w:bottom w:val="single" w:sz="6" w:space="0" w:color="auto"/>
              <w:right w:val="single" w:sz="6" w:space="0" w:color="auto"/>
            </w:tcBorders>
            <w:shd w:val="clear" w:color="auto" w:fill="auto"/>
          </w:tcPr>
          <w:p w:rsidR="00E84715" w:rsidRPr="00D671BA" w:rsidRDefault="00E84715" w:rsidP="001E1BB6">
            <w:pPr>
              <w:autoSpaceDE w:val="0"/>
              <w:autoSpaceDN w:val="0"/>
              <w:adjustRightInd w:val="0"/>
              <w:spacing w:after="0" w:line="240" w:lineRule="auto"/>
              <w:ind w:right="0"/>
              <w:jc w:val="both"/>
              <w:rPr>
                <w:b/>
                <w:color w:val="000000" w:themeColor="text1"/>
              </w:rPr>
            </w:pPr>
            <w:r w:rsidRPr="00D671BA">
              <w:rPr>
                <w:b/>
                <w:color w:val="000000" w:themeColor="text1"/>
              </w:rPr>
              <w:t>Section (C) : Key Personnel and Human Resources                               (10/100)</w:t>
            </w:r>
          </w:p>
          <w:p w:rsidR="00E84715" w:rsidRPr="00D671BA" w:rsidRDefault="00E84715" w:rsidP="001E1BB6">
            <w:pPr>
              <w:autoSpaceDE w:val="0"/>
              <w:autoSpaceDN w:val="0"/>
              <w:adjustRightInd w:val="0"/>
              <w:spacing w:after="0" w:line="240" w:lineRule="auto"/>
              <w:ind w:right="0"/>
              <w:jc w:val="both"/>
              <w:rPr>
                <w:b/>
                <w:color w:val="000000" w:themeColor="text1"/>
              </w:rPr>
            </w:pPr>
          </w:p>
        </w:tc>
      </w:tr>
      <w:tr w:rsidR="00E84715" w:rsidRPr="00D671BA" w:rsidTr="001E1BB6">
        <w:trPr>
          <w:trHeight w:val="1605"/>
        </w:trPr>
        <w:tc>
          <w:tcPr>
            <w:tcW w:w="8208" w:type="dxa"/>
            <w:tcBorders>
              <w:top w:val="single" w:sz="6" w:space="0" w:color="auto"/>
              <w:left w:val="single" w:sz="12" w:space="0" w:color="auto"/>
              <w:bottom w:val="single" w:sz="6" w:space="0" w:color="auto"/>
              <w:right w:val="single" w:sz="6" w:space="0" w:color="auto"/>
            </w:tcBorders>
          </w:tcPr>
          <w:p w:rsidR="00E84715" w:rsidRPr="00D671BA" w:rsidRDefault="00E84715" w:rsidP="001E1BB6">
            <w:pPr>
              <w:autoSpaceDE w:val="0"/>
              <w:autoSpaceDN w:val="0"/>
              <w:adjustRightInd w:val="0"/>
              <w:spacing w:after="0" w:line="240" w:lineRule="auto"/>
              <w:ind w:right="0"/>
              <w:jc w:val="both"/>
              <w:rPr>
                <w:color w:val="000000" w:themeColor="text1"/>
              </w:rPr>
            </w:pPr>
            <w:r w:rsidRPr="00D671BA">
              <w:rPr>
                <w:color w:val="000000" w:themeColor="text1"/>
              </w:rPr>
              <w:t xml:space="preserve">Human Resources and experts for implementation of software </w:t>
            </w:r>
          </w:p>
          <w:p w:rsidR="00E84715" w:rsidRPr="00D671BA" w:rsidRDefault="00E84715" w:rsidP="001E1BB6">
            <w:pPr>
              <w:autoSpaceDE w:val="0"/>
              <w:autoSpaceDN w:val="0"/>
              <w:adjustRightInd w:val="0"/>
              <w:spacing w:after="0" w:line="240" w:lineRule="auto"/>
              <w:ind w:right="0"/>
              <w:jc w:val="both"/>
              <w:rPr>
                <w:color w:val="000000" w:themeColor="text1"/>
              </w:rPr>
            </w:pPr>
          </w:p>
          <w:p w:rsidR="00E84715" w:rsidRPr="00D671BA" w:rsidRDefault="00E84715" w:rsidP="001E1BB6">
            <w:pPr>
              <w:autoSpaceDE w:val="0"/>
              <w:autoSpaceDN w:val="0"/>
              <w:adjustRightInd w:val="0"/>
              <w:spacing w:after="0" w:line="240" w:lineRule="auto"/>
              <w:ind w:right="0"/>
              <w:jc w:val="both"/>
              <w:rPr>
                <w:bCs/>
                <w:color w:val="000000" w:themeColor="text1"/>
              </w:rPr>
            </w:pPr>
            <w:r w:rsidRPr="00D671BA">
              <w:rPr>
                <w:color w:val="000000" w:themeColor="text1"/>
              </w:rPr>
              <w:t>Availability of full time and adequate  IT experts  with the Bidder for integration of products into actuarial software system</w:t>
            </w:r>
          </w:p>
        </w:tc>
      </w:tr>
      <w:tr w:rsidR="00E84715" w:rsidRPr="00D671BA" w:rsidTr="001E1BB6">
        <w:trPr>
          <w:trHeight w:val="293"/>
        </w:trPr>
        <w:tc>
          <w:tcPr>
            <w:tcW w:w="8208" w:type="dxa"/>
            <w:tcBorders>
              <w:top w:val="single" w:sz="6" w:space="0" w:color="auto"/>
              <w:left w:val="single" w:sz="12" w:space="0" w:color="auto"/>
              <w:bottom w:val="single" w:sz="6" w:space="0" w:color="auto"/>
              <w:right w:val="single" w:sz="6" w:space="0" w:color="auto"/>
            </w:tcBorders>
          </w:tcPr>
          <w:p w:rsidR="00E84715" w:rsidRPr="00D671BA" w:rsidRDefault="00E84715" w:rsidP="001E1BB6">
            <w:pPr>
              <w:autoSpaceDE w:val="0"/>
              <w:autoSpaceDN w:val="0"/>
              <w:adjustRightInd w:val="0"/>
              <w:spacing w:after="0" w:line="240" w:lineRule="auto"/>
              <w:ind w:right="0"/>
              <w:jc w:val="both"/>
              <w:rPr>
                <w:bCs/>
                <w:color w:val="000000" w:themeColor="text1"/>
              </w:rPr>
            </w:pPr>
            <w:r w:rsidRPr="00D671BA">
              <w:rPr>
                <w:color w:val="000000" w:themeColor="text1"/>
              </w:rPr>
              <w:t>Number of full time qualified actuaries working with the Bidder and other experienced consultants for IEV calculations &amp; related works and other jobs as mentioned in scope of work.</w:t>
            </w:r>
          </w:p>
        </w:tc>
      </w:tr>
      <w:tr w:rsidR="00E84715" w:rsidRPr="00D671BA" w:rsidTr="001E1BB6">
        <w:trPr>
          <w:trHeight w:val="582"/>
        </w:trPr>
        <w:tc>
          <w:tcPr>
            <w:tcW w:w="8208" w:type="dxa"/>
            <w:tcBorders>
              <w:top w:val="single" w:sz="6" w:space="0" w:color="auto"/>
              <w:left w:val="single" w:sz="12" w:space="0" w:color="auto"/>
              <w:bottom w:val="single" w:sz="6" w:space="0" w:color="auto"/>
              <w:right w:val="single" w:sz="6" w:space="0" w:color="auto"/>
            </w:tcBorders>
          </w:tcPr>
          <w:p w:rsidR="00E84715" w:rsidRPr="00D671BA" w:rsidRDefault="00E84715" w:rsidP="001E1BB6">
            <w:pPr>
              <w:ind w:right="0"/>
              <w:jc w:val="both"/>
              <w:rPr>
                <w:bCs/>
                <w:color w:val="000000" w:themeColor="text1"/>
              </w:rPr>
            </w:pPr>
            <w:r w:rsidRPr="00D671BA">
              <w:rPr>
                <w:b/>
                <w:bCs/>
                <w:color w:val="000000" w:themeColor="text1"/>
              </w:rPr>
              <w:t>Section (D) Infrastructure and Local Support</w:t>
            </w:r>
            <w:r w:rsidRPr="00D671BA">
              <w:rPr>
                <w:b/>
                <w:bCs/>
                <w:color w:val="000000" w:themeColor="text1"/>
              </w:rPr>
              <w:tab/>
              <w:t xml:space="preserve">   (5/100)</w:t>
            </w:r>
          </w:p>
        </w:tc>
      </w:tr>
      <w:tr w:rsidR="00E84715" w:rsidRPr="00D671BA" w:rsidTr="001E1BB6">
        <w:trPr>
          <w:trHeight w:val="1425"/>
        </w:trPr>
        <w:tc>
          <w:tcPr>
            <w:tcW w:w="8208" w:type="dxa"/>
            <w:tcBorders>
              <w:top w:val="single" w:sz="6" w:space="0" w:color="auto"/>
              <w:left w:val="single" w:sz="12" w:space="0" w:color="auto"/>
              <w:bottom w:val="single" w:sz="6" w:space="0" w:color="auto"/>
              <w:right w:val="single" w:sz="6" w:space="0" w:color="auto"/>
            </w:tcBorders>
          </w:tcPr>
          <w:p w:rsidR="00E84715" w:rsidRPr="00D671BA" w:rsidRDefault="00E84715" w:rsidP="001E1BB6">
            <w:pPr>
              <w:autoSpaceDE w:val="0"/>
              <w:autoSpaceDN w:val="0"/>
              <w:adjustRightInd w:val="0"/>
              <w:spacing w:after="0" w:line="240" w:lineRule="auto"/>
              <w:ind w:right="0"/>
              <w:jc w:val="both"/>
              <w:rPr>
                <w:color w:val="000000" w:themeColor="text1"/>
              </w:rPr>
            </w:pPr>
            <w:r w:rsidRPr="00D671BA">
              <w:rPr>
                <w:color w:val="000000" w:themeColor="text1"/>
              </w:rPr>
              <w:t>Infrastructure is defined as:</w:t>
            </w:r>
          </w:p>
          <w:p w:rsidR="00E84715" w:rsidRPr="00D671BA" w:rsidRDefault="00E84715" w:rsidP="001E1BB6">
            <w:pPr>
              <w:autoSpaceDE w:val="0"/>
              <w:autoSpaceDN w:val="0"/>
              <w:adjustRightInd w:val="0"/>
              <w:spacing w:after="0" w:line="240" w:lineRule="auto"/>
              <w:ind w:right="0"/>
              <w:jc w:val="both"/>
              <w:rPr>
                <w:color w:val="000000" w:themeColor="text1"/>
              </w:rPr>
            </w:pPr>
          </w:p>
          <w:p w:rsidR="00E84715" w:rsidRPr="00D671BA" w:rsidRDefault="00E84715" w:rsidP="001E1BB6">
            <w:pPr>
              <w:autoSpaceDE w:val="0"/>
              <w:autoSpaceDN w:val="0"/>
              <w:adjustRightInd w:val="0"/>
              <w:spacing w:after="0" w:line="240" w:lineRule="auto"/>
              <w:ind w:right="0"/>
              <w:jc w:val="both"/>
              <w:rPr>
                <w:color w:val="000000" w:themeColor="text1"/>
              </w:rPr>
            </w:pPr>
            <w:r w:rsidRPr="00D671BA">
              <w:rPr>
                <w:color w:val="000000" w:themeColor="text1"/>
              </w:rPr>
              <w:t>(</w:t>
            </w:r>
            <w:proofErr w:type="spellStart"/>
            <w:r w:rsidRPr="00D671BA">
              <w:rPr>
                <w:color w:val="000000" w:themeColor="text1"/>
              </w:rPr>
              <w:t>i</w:t>
            </w:r>
            <w:proofErr w:type="spellEnd"/>
            <w:r w:rsidRPr="00D671BA">
              <w:rPr>
                <w:color w:val="000000" w:themeColor="text1"/>
              </w:rPr>
              <w:t>) Office preferably in Mumbai</w:t>
            </w:r>
          </w:p>
          <w:p w:rsidR="00E84715" w:rsidRPr="00D671BA" w:rsidRDefault="00E84715" w:rsidP="001E1BB6">
            <w:pPr>
              <w:autoSpaceDE w:val="0"/>
              <w:autoSpaceDN w:val="0"/>
              <w:adjustRightInd w:val="0"/>
              <w:spacing w:after="0" w:line="240" w:lineRule="auto"/>
              <w:ind w:right="0"/>
              <w:jc w:val="both"/>
              <w:rPr>
                <w:color w:val="000000" w:themeColor="text1"/>
              </w:rPr>
            </w:pPr>
            <w:r w:rsidRPr="00D671BA">
              <w:rPr>
                <w:color w:val="000000" w:themeColor="text1"/>
              </w:rPr>
              <w:t>(ii) Client support infrastructure including on line support for problem resolution</w:t>
            </w:r>
          </w:p>
          <w:p w:rsidR="00E84715" w:rsidRPr="00D671BA" w:rsidRDefault="00E84715" w:rsidP="001E1BB6">
            <w:pPr>
              <w:autoSpaceDE w:val="0"/>
              <w:autoSpaceDN w:val="0"/>
              <w:adjustRightInd w:val="0"/>
              <w:spacing w:after="0" w:line="240" w:lineRule="auto"/>
              <w:ind w:right="0"/>
              <w:jc w:val="both"/>
              <w:rPr>
                <w:color w:val="000000" w:themeColor="text1"/>
              </w:rPr>
            </w:pPr>
          </w:p>
        </w:tc>
      </w:tr>
      <w:tr w:rsidR="00E84715" w:rsidRPr="00D671BA" w:rsidTr="001E1BB6">
        <w:trPr>
          <w:trHeight w:val="687"/>
        </w:trPr>
        <w:tc>
          <w:tcPr>
            <w:tcW w:w="8208" w:type="dxa"/>
            <w:tcBorders>
              <w:top w:val="single" w:sz="6" w:space="0" w:color="auto"/>
              <w:left w:val="single" w:sz="12" w:space="0" w:color="auto"/>
              <w:bottom w:val="single" w:sz="6" w:space="0" w:color="auto"/>
              <w:right w:val="single" w:sz="6" w:space="0" w:color="auto"/>
            </w:tcBorders>
          </w:tcPr>
          <w:p w:rsidR="00E84715" w:rsidRPr="00D671BA" w:rsidRDefault="00E84715" w:rsidP="001E1BB6">
            <w:pPr>
              <w:ind w:right="0"/>
              <w:jc w:val="both"/>
              <w:rPr>
                <w:bCs/>
                <w:color w:val="000000" w:themeColor="text1"/>
              </w:rPr>
            </w:pPr>
            <w:r w:rsidRPr="00D671BA">
              <w:rPr>
                <w:b/>
                <w:bCs/>
                <w:color w:val="000000" w:themeColor="text1"/>
              </w:rPr>
              <w:t>Section (E) Any Additional information and details</w:t>
            </w:r>
            <w:r w:rsidRPr="00D671BA">
              <w:rPr>
                <w:b/>
                <w:bCs/>
                <w:color w:val="000000" w:themeColor="text1"/>
              </w:rPr>
              <w:tab/>
            </w:r>
          </w:p>
        </w:tc>
      </w:tr>
    </w:tbl>
    <w:p w:rsidR="00E84715" w:rsidRPr="00D671BA" w:rsidRDefault="00E84715" w:rsidP="00E84715">
      <w:pPr>
        <w:rPr>
          <w:b/>
          <w:color w:val="000000" w:themeColor="text1"/>
          <w:u w:val="single"/>
        </w:rPr>
      </w:pPr>
    </w:p>
    <w:p w:rsidR="00E84715" w:rsidRPr="00D671BA" w:rsidRDefault="00E84715" w:rsidP="00E84715">
      <w:pPr>
        <w:ind w:right="0"/>
        <w:jc w:val="right"/>
        <w:rPr>
          <w:b/>
          <w:color w:val="000000" w:themeColor="text1"/>
          <w:u w:val="single"/>
        </w:rPr>
      </w:pPr>
    </w:p>
    <w:p w:rsidR="00E84715" w:rsidRPr="00D671BA" w:rsidRDefault="00E84715" w:rsidP="00E84715">
      <w:pPr>
        <w:ind w:right="0"/>
        <w:jc w:val="right"/>
        <w:rPr>
          <w:b/>
          <w:color w:val="000000" w:themeColor="text1"/>
          <w:u w:val="single"/>
        </w:rPr>
      </w:pPr>
    </w:p>
    <w:p w:rsidR="00E84715" w:rsidRPr="00D671BA" w:rsidRDefault="00E84715" w:rsidP="00E84715">
      <w:pPr>
        <w:ind w:right="0"/>
        <w:jc w:val="right"/>
        <w:rPr>
          <w:b/>
          <w:color w:val="000000" w:themeColor="text1"/>
          <w:u w:val="single"/>
        </w:rPr>
      </w:pPr>
    </w:p>
    <w:p w:rsidR="00E84715" w:rsidRPr="00D671BA" w:rsidRDefault="00E84715" w:rsidP="00E84715">
      <w:pPr>
        <w:ind w:right="0"/>
        <w:jc w:val="right"/>
        <w:rPr>
          <w:b/>
          <w:color w:val="000000" w:themeColor="text1"/>
          <w:u w:val="single"/>
        </w:rPr>
      </w:pPr>
    </w:p>
    <w:p w:rsidR="00E84715" w:rsidRPr="00D671BA" w:rsidRDefault="00E84715" w:rsidP="00E84715">
      <w:pPr>
        <w:ind w:right="0"/>
        <w:jc w:val="right"/>
        <w:rPr>
          <w:b/>
          <w:color w:val="000000" w:themeColor="text1"/>
          <w:u w:val="single"/>
        </w:rPr>
      </w:pPr>
    </w:p>
    <w:p w:rsidR="00E84715" w:rsidRPr="00D671BA" w:rsidRDefault="00E84715" w:rsidP="00E84715">
      <w:pPr>
        <w:ind w:right="0"/>
        <w:jc w:val="right"/>
        <w:rPr>
          <w:b/>
          <w:color w:val="000000" w:themeColor="text1"/>
          <w:u w:val="single"/>
        </w:rPr>
      </w:pPr>
    </w:p>
    <w:p w:rsidR="00E84715" w:rsidRPr="00D671BA" w:rsidRDefault="00E84715" w:rsidP="00E84715">
      <w:pPr>
        <w:ind w:right="0"/>
        <w:jc w:val="right"/>
        <w:rPr>
          <w:b/>
          <w:color w:val="000000" w:themeColor="text1"/>
          <w:u w:val="single"/>
        </w:rPr>
      </w:pPr>
    </w:p>
    <w:p w:rsidR="00E84715" w:rsidRPr="00D671BA" w:rsidRDefault="00E84715" w:rsidP="00E84715">
      <w:pPr>
        <w:ind w:right="0"/>
        <w:jc w:val="right"/>
        <w:rPr>
          <w:b/>
          <w:color w:val="000000" w:themeColor="text1"/>
          <w:u w:val="single"/>
        </w:rPr>
      </w:pPr>
    </w:p>
    <w:p w:rsidR="00E84715" w:rsidRPr="00D671BA" w:rsidRDefault="00E84715" w:rsidP="00E84715">
      <w:pPr>
        <w:ind w:right="0"/>
        <w:jc w:val="right"/>
        <w:rPr>
          <w:b/>
          <w:color w:val="000000" w:themeColor="text1"/>
          <w:u w:val="single"/>
        </w:rPr>
      </w:pPr>
    </w:p>
    <w:p w:rsidR="00E84715" w:rsidRPr="00D671BA" w:rsidRDefault="00E84715" w:rsidP="00E84715">
      <w:pPr>
        <w:ind w:right="0"/>
        <w:jc w:val="right"/>
        <w:rPr>
          <w:b/>
          <w:color w:val="000000" w:themeColor="text1"/>
          <w:u w:val="single"/>
        </w:rPr>
      </w:pPr>
    </w:p>
    <w:p w:rsidR="00E84715" w:rsidRPr="00D671BA" w:rsidRDefault="00E84715" w:rsidP="00E84715">
      <w:pPr>
        <w:ind w:right="0"/>
        <w:jc w:val="right"/>
        <w:rPr>
          <w:b/>
          <w:color w:val="000000" w:themeColor="text1"/>
          <w:u w:val="single"/>
        </w:rPr>
      </w:pPr>
    </w:p>
    <w:p w:rsidR="00E84715" w:rsidRPr="00D671BA" w:rsidRDefault="00E84715" w:rsidP="00E84715">
      <w:pPr>
        <w:ind w:right="0"/>
        <w:jc w:val="right"/>
        <w:rPr>
          <w:b/>
          <w:color w:val="000000" w:themeColor="text1"/>
          <w:u w:val="single"/>
        </w:rPr>
      </w:pPr>
    </w:p>
    <w:p w:rsidR="00E84715" w:rsidRPr="00D671BA" w:rsidRDefault="00E84715" w:rsidP="00E84715">
      <w:pPr>
        <w:ind w:right="0"/>
        <w:jc w:val="right"/>
        <w:rPr>
          <w:b/>
          <w:color w:val="000000" w:themeColor="text1"/>
          <w:u w:val="single"/>
        </w:rPr>
      </w:pPr>
    </w:p>
    <w:p w:rsidR="00E84715" w:rsidRPr="00D671BA" w:rsidRDefault="00E84715" w:rsidP="00E84715">
      <w:pPr>
        <w:ind w:right="0"/>
        <w:jc w:val="right"/>
        <w:rPr>
          <w:b/>
          <w:color w:val="000000" w:themeColor="text1"/>
          <w:u w:val="single"/>
        </w:rPr>
      </w:pPr>
    </w:p>
    <w:p w:rsidR="00E84715" w:rsidRPr="00D671BA" w:rsidRDefault="00E84715" w:rsidP="00E84715">
      <w:pPr>
        <w:ind w:right="0"/>
        <w:jc w:val="right"/>
        <w:rPr>
          <w:b/>
          <w:color w:val="000000" w:themeColor="text1"/>
          <w:u w:val="single"/>
        </w:rPr>
      </w:pPr>
    </w:p>
    <w:p w:rsidR="00E84715" w:rsidRPr="00D671BA" w:rsidRDefault="00E84715" w:rsidP="00E84715">
      <w:pPr>
        <w:ind w:right="0"/>
        <w:jc w:val="right"/>
        <w:rPr>
          <w:b/>
          <w:color w:val="000000" w:themeColor="text1"/>
          <w:u w:val="single"/>
        </w:rPr>
      </w:pPr>
    </w:p>
    <w:p w:rsidR="00E84715" w:rsidRPr="00D671BA" w:rsidRDefault="00E84715" w:rsidP="00E84715">
      <w:pPr>
        <w:framePr w:w="8217" w:h="1513" w:hRule="exact" w:hSpace="180" w:wrap="around" w:vAnchor="text" w:hAnchor="page" w:x="1330" w:y="1998"/>
        <w:autoSpaceDE w:val="0"/>
        <w:autoSpaceDN w:val="0"/>
        <w:adjustRightInd w:val="0"/>
        <w:spacing w:after="0" w:line="240" w:lineRule="auto"/>
        <w:ind w:right="0"/>
        <w:jc w:val="both"/>
        <w:rPr>
          <w:color w:val="000000" w:themeColor="text1"/>
        </w:rPr>
      </w:pPr>
      <w:r w:rsidRPr="00D671BA">
        <w:rPr>
          <w:color w:val="000000" w:themeColor="text1"/>
        </w:rPr>
        <w:t>Important Notes:</w:t>
      </w:r>
    </w:p>
    <w:p w:rsidR="00E84715" w:rsidRPr="00D671BA" w:rsidRDefault="00E84715" w:rsidP="00E84715">
      <w:pPr>
        <w:framePr w:w="8217" w:h="1513" w:hRule="exact" w:hSpace="180" w:wrap="around" w:vAnchor="text" w:hAnchor="page" w:x="1330" w:y="1998"/>
        <w:autoSpaceDE w:val="0"/>
        <w:autoSpaceDN w:val="0"/>
        <w:adjustRightInd w:val="0"/>
        <w:spacing w:after="0" w:line="240" w:lineRule="auto"/>
        <w:ind w:right="0"/>
        <w:jc w:val="both"/>
        <w:rPr>
          <w:color w:val="000000" w:themeColor="text1"/>
        </w:rPr>
      </w:pPr>
    </w:p>
    <w:p w:rsidR="00E84715" w:rsidRPr="00D671BA" w:rsidRDefault="00E84715" w:rsidP="00E84715">
      <w:pPr>
        <w:framePr w:w="8217" w:h="1513" w:hRule="exact" w:hSpace="180" w:wrap="around" w:vAnchor="text" w:hAnchor="page" w:x="1330" w:y="1998"/>
        <w:autoSpaceDE w:val="0"/>
        <w:autoSpaceDN w:val="0"/>
        <w:adjustRightInd w:val="0"/>
        <w:spacing w:after="0" w:line="240" w:lineRule="auto"/>
        <w:ind w:right="0"/>
        <w:jc w:val="both"/>
        <w:rPr>
          <w:color w:val="000000" w:themeColor="text1"/>
        </w:rPr>
      </w:pPr>
      <w:r w:rsidRPr="00D671BA">
        <w:rPr>
          <w:color w:val="000000" w:themeColor="text1"/>
        </w:rPr>
        <w:t xml:space="preserve">It may be noted that the </w:t>
      </w:r>
      <w:proofErr w:type="gramStart"/>
      <w:r w:rsidRPr="00D671BA">
        <w:rPr>
          <w:color w:val="000000" w:themeColor="text1"/>
        </w:rPr>
        <w:t>Bidder  must</w:t>
      </w:r>
      <w:proofErr w:type="gramEnd"/>
      <w:r w:rsidRPr="00D671BA">
        <w:rPr>
          <w:color w:val="000000" w:themeColor="text1"/>
        </w:rPr>
        <w:t xml:space="preserve"> commit to integrate at least 80 LICI products </w:t>
      </w:r>
    </w:p>
    <w:p w:rsidR="00E84715" w:rsidRPr="00D671BA" w:rsidRDefault="00E84715" w:rsidP="00E84715">
      <w:pPr>
        <w:framePr w:w="8217" w:h="1513" w:hRule="exact" w:hSpace="180" w:wrap="around" w:vAnchor="text" w:hAnchor="page" w:x="1330" w:y="1998"/>
        <w:autoSpaceDE w:val="0"/>
        <w:autoSpaceDN w:val="0"/>
        <w:adjustRightInd w:val="0"/>
        <w:spacing w:after="0" w:line="240" w:lineRule="auto"/>
        <w:ind w:right="0"/>
        <w:jc w:val="both"/>
        <w:rPr>
          <w:color w:val="000000" w:themeColor="text1"/>
        </w:rPr>
      </w:pPr>
      <w:proofErr w:type="gramStart"/>
      <w:r w:rsidRPr="00D671BA">
        <w:rPr>
          <w:color w:val="000000" w:themeColor="text1"/>
        </w:rPr>
        <w:t>in</w:t>
      </w:r>
      <w:proofErr w:type="gramEnd"/>
      <w:r w:rsidRPr="00D671BA">
        <w:rPr>
          <w:color w:val="000000" w:themeColor="text1"/>
        </w:rPr>
        <w:t xml:space="preserve"> the actuarial software system as specified by LICI failing which their bid shall be summarily rejected. It is also mandatory for the Bidder to respond to each of the items mentioned</w:t>
      </w:r>
    </w:p>
    <w:p w:rsidR="00E84715" w:rsidRPr="00D671BA" w:rsidRDefault="00E84715" w:rsidP="00E84715">
      <w:pPr>
        <w:framePr w:w="8217" w:h="1513" w:hRule="exact" w:hSpace="180" w:wrap="around" w:vAnchor="text" w:hAnchor="page" w:x="1330" w:y="1998"/>
        <w:autoSpaceDE w:val="0"/>
        <w:autoSpaceDN w:val="0"/>
        <w:adjustRightInd w:val="0"/>
        <w:spacing w:after="0" w:line="240" w:lineRule="auto"/>
        <w:jc w:val="both"/>
        <w:rPr>
          <w:bCs/>
          <w:color w:val="000000" w:themeColor="text1"/>
        </w:rPr>
      </w:pPr>
      <w:r w:rsidRPr="00D671BA">
        <w:rPr>
          <w:bCs/>
          <w:color w:val="000000" w:themeColor="text1"/>
        </w:rPr>
        <w:t xml:space="preserve"> </w:t>
      </w:r>
      <w:proofErr w:type="gramStart"/>
      <w:r w:rsidRPr="00D671BA">
        <w:rPr>
          <w:bCs/>
          <w:color w:val="000000" w:themeColor="text1"/>
        </w:rPr>
        <w:t>above</w:t>
      </w:r>
      <w:proofErr w:type="gramEnd"/>
      <w:r w:rsidRPr="00D671BA">
        <w:rPr>
          <w:bCs/>
          <w:color w:val="000000" w:themeColor="text1"/>
        </w:rPr>
        <w:t xml:space="preserve"> except Section (E). </w:t>
      </w:r>
    </w:p>
    <w:p w:rsidR="00E84715" w:rsidRPr="00D671BA" w:rsidRDefault="00E84715" w:rsidP="00E84715">
      <w:pPr>
        <w:framePr w:w="8217" w:h="1513" w:hRule="exact" w:hSpace="180" w:wrap="around" w:vAnchor="text" w:hAnchor="page" w:x="1330" w:y="1998"/>
        <w:autoSpaceDE w:val="0"/>
        <w:autoSpaceDN w:val="0"/>
        <w:adjustRightInd w:val="0"/>
        <w:spacing w:after="0" w:line="240" w:lineRule="auto"/>
        <w:jc w:val="both"/>
        <w:rPr>
          <w:bCs/>
          <w:color w:val="000000" w:themeColor="text1"/>
        </w:rPr>
      </w:pPr>
    </w:p>
    <w:p w:rsidR="00E84715" w:rsidRPr="00D671BA" w:rsidRDefault="00E84715" w:rsidP="00E84715">
      <w:pPr>
        <w:ind w:right="0"/>
        <w:jc w:val="right"/>
        <w:rPr>
          <w:b/>
          <w:color w:val="000000" w:themeColor="text1"/>
          <w:u w:val="single"/>
        </w:rPr>
      </w:pPr>
    </w:p>
    <w:p w:rsidR="00E84715" w:rsidRPr="00D671BA" w:rsidRDefault="00E84715" w:rsidP="00E84715">
      <w:pPr>
        <w:ind w:right="0"/>
        <w:jc w:val="center"/>
        <w:rPr>
          <w:b/>
          <w:color w:val="000000" w:themeColor="text1"/>
          <w:u w:val="single"/>
        </w:rPr>
      </w:pPr>
    </w:p>
    <w:p w:rsidR="00FB09AA" w:rsidRDefault="00FB09AA"/>
    <w:sectPr w:rsidR="00FB09AA" w:rsidSect="00FB09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4"/>
  <w:proofState w:spelling="clean" w:grammar="clean"/>
  <w:defaultTabStop w:val="720"/>
  <w:characterSpacingControl w:val="doNotCompress"/>
  <w:compat/>
  <w:rsids>
    <w:rsidRoot w:val="00E84715"/>
    <w:rsid w:val="001E1BB6"/>
    <w:rsid w:val="006F3C14"/>
    <w:rsid w:val="00E84715"/>
    <w:rsid w:val="00FB09AA"/>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715"/>
    <w:pPr>
      <w:spacing w:after="200" w:line="276" w:lineRule="auto"/>
      <w:ind w:right="-323"/>
    </w:pPr>
    <w:rPr>
      <w:rFonts w:ascii="Arial" w:eastAsia="Arial" w:hAnsi="Arial" w:cs="Arial"/>
      <w:lang w:val="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577</Words>
  <Characters>3085</Characters>
  <Application>Microsoft Office Word</Application>
  <DocSecurity>0</DocSecurity>
  <Lines>73</Lines>
  <Paragraphs>31</Paragraphs>
  <ScaleCrop>false</ScaleCrop>
  <Company/>
  <LinksUpToDate>false</LinksUpToDate>
  <CharactersWithSpaces>3631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dc:creator>
  <cp:lastModifiedBy>lic</cp:lastModifiedBy>
  <cp:revision>2</cp:revision>
  <dcterms:created xsi:type="dcterms:W3CDTF">2020-11-27T10:18:00Z</dcterms:created>
  <dcterms:modified xsi:type="dcterms:W3CDTF">2020-11-27T10:20:00Z</dcterms:modified>
</cp:coreProperties>
</file>